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620"/>
        <w:gridCol w:w="4320"/>
      </w:tblGrid>
      <w:tr w:rsidR="008D2F27" w:rsidTr="008D2F27">
        <w:trPr>
          <w:trHeight w:val="1694"/>
        </w:trPr>
        <w:tc>
          <w:tcPr>
            <w:tcW w:w="450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D2F27" w:rsidRDefault="008D2F27" w:rsidP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47833" wp14:editId="2F5414DF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F27" w:rsidTr="008D2F27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8D2F27">
              <w:trPr>
                <w:cantSplit/>
                <w:trHeight w:val="558"/>
              </w:trPr>
              <w:tc>
                <w:tcPr>
                  <w:tcW w:w="9561" w:type="dxa"/>
                  <w:hideMark/>
                </w:tcPr>
                <w:p w:rsidR="008D2F27" w:rsidRDefault="008D2F27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8D2F27" w:rsidRDefault="008D2F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F27" w:rsidRPr="00E70553" w:rsidTr="00292E2C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0440" w:type="dxa"/>
            <w:gridSpan w:val="3"/>
          </w:tcPr>
          <w:p w:rsidR="009156A1" w:rsidRDefault="009156A1" w:rsidP="00292E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56A1">
              <w:rPr>
                <w:b/>
                <w:sz w:val="22"/>
                <w:szCs w:val="22"/>
              </w:rPr>
              <w:t xml:space="preserve">О результатах оперативно-служебной деятельности Межмуниципального отдела </w:t>
            </w:r>
          </w:p>
          <w:p w:rsidR="008D2F27" w:rsidRPr="009156A1" w:rsidRDefault="00CC4283" w:rsidP="00292E2C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МВД России «</w:t>
            </w:r>
            <w:proofErr w:type="spellStart"/>
            <w:r>
              <w:rPr>
                <w:b/>
                <w:sz w:val="22"/>
                <w:szCs w:val="22"/>
              </w:rPr>
              <w:t>Можгинский</w:t>
            </w:r>
            <w:proofErr w:type="spellEnd"/>
            <w:r>
              <w:rPr>
                <w:b/>
                <w:sz w:val="22"/>
                <w:szCs w:val="22"/>
              </w:rPr>
              <w:t>» за 2022 год</w:t>
            </w:r>
          </w:p>
          <w:p w:rsidR="008D2F27" w:rsidRPr="00720C4B" w:rsidRDefault="008D2F27" w:rsidP="00292E2C">
            <w:pPr>
              <w:rPr>
                <w:b/>
                <w:bCs/>
              </w:rPr>
            </w:pPr>
          </w:p>
        </w:tc>
      </w:tr>
    </w:tbl>
    <w:p w:rsidR="008D2F27" w:rsidRPr="00CC4283" w:rsidRDefault="008D2F27" w:rsidP="00AA0A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55">
        <w:t xml:space="preserve">        </w:t>
      </w:r>
      <w:r>
        <w:t xml:space="preserve">      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  <w:r w:rsidR="00AA0AD4" w:rsidRPr="00C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9156A1" w:rsidRPr="00CC4283">
        <w:rPr>
          <w:rFonts w:ascii="Times New Roman" w:hAnsi="Times New Roman" w:cs="Times New Roman"/>
          <w:sz w:val="24"/>
          <w:szCs w:val="24"/>
        </w:rPr>
        <w:t>о результатах оперативно-служебной деятельности Межмуниципального отдела МВД России «</w:t>
      </w:r>
      <w:proofErr w:type="spellStart"/>
      <w:r w:rsidR="009156A1" w:rsidRPr="00CC428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C4283" w:rsidRPr="00CC4283">
        <w:rPr>
          <w:rFonts w:ascii="Times New Roman" w:hAnsi="Times New Roman" w:cs="Times New Roman"/>
          <w:sz w:val="24"/>
          <w:szCs w:val="24"/>
        </w:rPr>
        <w:t>» за 2022</w:t>
      </w:r>
      <w:r w:rsidR="009156A1" w:rsidRPr="00CC4283">
        <w:rPr>
          <w:rFonts w:ascii="Times New Roman" w:hAnsi="Times New Roman" w:cs="Times New Roman"/>
          <w:sz w:val="24"/>
          <w:szCs w:val="24"/>
        </w:rPr>
        <w:t xml:space="preserve"> год </w:t>
      </w:r>
      <w:r w:rsidR="00AA0AD4" w:rsidRPr="00C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 </w:t>
      </w:r>
      <w:r w:rsidR="00067E51" w:rsidRPr="00CC4283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AA0AD4" w:rsidRPr="00CC4283">
        <w:rPr>
          <w:rFonts w:ascii="Times New Roman" w:hAnsi="Times New Roman" w:cs="Times New Roman"/>
          <w:sz w:val="24"/>
          <w:szCs w:val="24"/>
        </w:rPr>
        <w:t>ом</w:t>
      </w:r>
      <w:r w:rsidR="00067E51" w:rsidRPr="00CC42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="00067E51" w:rsidRPr="00CC428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067E51" w:rsidRPr="00CC428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</w:t>
      </w:r>
      <w:r w:rsidRPr="00CC4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6A1" w:rsidRDefault="009156A1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2F27" w:rsidRPr="008D2F27" w:rsidRDefault="008D2F27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F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СОВЕТ ДЕПУТАТОВ РЕШИЛ:</w:t>
      </w:r>
    </w:p>
    <w:p w:rsidR="008D2F27" w:rsidRPr="008D2F27" w:rsidRDefault="008D2F27" w:rsidP="008D2F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F27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AA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6A1">
        <w:rPr>
          <w:rFonts w:ascii="Times New Roman" w:hAnsi="Times New Roman" w:cs="Times New Roman"/>
          <w:sz w:val="24"/>
          <w:szCs w:val="24"/>
        </w:rPr>
        <w:t xml:space="preserve"> </w:t>
      </w:r>
      <w:r w:rsidR="009156A1" w:rsidRPr="009156A1">
        <w:rPr>
          <w:rFonts w:ascii="Times New Roman" w:hAnsi="Times New Roman" w:cs="Times New Roman"/>
          <w:sz w:val="24"/>
          <w:szCs w:val="24"/>
        </w:rPr>
        <w:t xml:space="preserve"> результатах оп</w:t>
      </w:r>
      <w:r w:rsidR="00CC4283">
        <w:rPr>
          <w:rFonts w:ascii="Times New Roman" w:hAnsi="Times New Roman" w:cs="Times New Roman"/>
          <w:sz w:val="24"/>
          <w:szCs w:val="24"/>
        </w:rPr>
        <w:t xml:space="preserve">еративно-служебной деятельности </w:t>
      </w:r>
      <w:r w:rsidR="009156A1" w:rsidRPr="009156A1">
        <w:rPr>
          <w:rFonts w:ascii="Times New Roman" w:hAnsi="Times New Roman" w:cs="Times New Roman"/>
          <w:sz w:val="24"/>
          <w:szCs w:val="24"/>
        </w:rPr>
        <w:t xml:space="preserve">Межмуниципального отдела МВД </w:t>
      </w:r>
      <w:r w:rsidR="00CC4283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CC4283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C4283">
        <w:rPr>
          <w:rFonts w:ascii="Times New Roman" w:hAnsi="Times New Roman" w:cs="Times New Roman"/>
          <w:sz w:val="24"/>
          <w:szCs w:val="24"/>
        </w:rPr>
        <w:t>» за 2022</w:t>
      </w:r>
      <w:r w:rsidR="009156A1">
        <w:rPr>
          <w:rFonts w:ascii="Times New Roman" w:hAnsi="Times New Roman" w:cs="Times New Roman"/>
          <w:sz w:val="24"/>
          <w:szCs w:val="24"/>
        </w:rPr>
        <w:t xml:space="preserve"> год </w:t>
      </w:r>
      <w:r w:rsidR="00AA0AD4" w:rsidRPr="00BC0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  <w:r w:rsidRPr="008D2F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2F27" w:rsidRPr="008D2F27" w:rsidRDefault="008D2F27" w:rsidP="008D2F27">
      <w:pPr>
        <w:pStyle w:val="5"/>
        <w:jc w:val="left"/>
        <w:rPr>
          <w:b w:val="0"/>
          <w:szCs w:val="24"/>
        </w:rPr>
      </w:pPr>
      <w:r w:rsidRPr="008D2F27">
        <w:rPr>
          <w:b w:val="0"/>
          <w:szCs w:val="24"/>
        </w:rPr>
        <w:t xml:space="preserve"> </w:t>
      </w:r>
    </w:p>
    <w:p w:rsidR="00F4382C" w:rsidRPr="00FC654A" w:rsidRDefault="008D2F27" w:rsidP="00F4382C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F27">
        <w:rPr>
          <w:rFonts w:eastAsia="Calibri"/>
          <w:lang w:eastAsia="en-US"/>
        </w:rPr>
        <w:t xml:space="preserve">             </w:t>
      </w:r>
      <w:r w:rsidRPr="008D2F27">
        <w:t xml:space="preserve">2. </w:t>
      </w:r>
      <w:r>
        <w:t xml:space="preserve"> </w:t>
      </w:r>
      <w:r w:rsidRPr="008D2F27"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информационно-телекоммуника</w:t>
      </w:r>
      <w:r w:rsidR="00F4382C">
        <w:rPr>
          <w:rFonts w:ascii="Times New Roman" w:hAnsi="Times New Roman" w:cs="Times New Roman"/>
          <w:sz w:val="24"/>
          <w:szCs w:val="24"/>
        </w:rPr>
        <w:t>цион</w:t>
      </w:r>
      <w:r w:rsidR="00F4382C" w:rsidRPr="001373B2">
        <w:rPr>
          <w:rFonts w:ascii="Times New Roman" w:hAnsi="Times New Roman" w:cs="Times New Roman"/>
          <w:sz w:val="24"/>
          <w:szCs w:val="24"/>
        </w:rPr>
        <w:t>ной сети «Интернет» на официальном сайте муниципального образования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FC654A">
        <w:rPr>
          <w:rFonts w:ascii="Times New Roman" w:hAnsi="Times New Roman" w:cs="Times New Roman"/>
          <w:sz w:val="24"/>
          <w:szCs w:val="24"/>
        </w:rPr>
        <w:t>«</w:t>
      </w:r>
      <w:r w:rsidR="00CC4283" w:rsidRPr="00FC654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CC4283" w:rsidRPr="00FC654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C4283" w:rsidRPr="00FC654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="00F4382C" w:rsidRPr="00FC654A">
        <w:rPr>
          <w:rFonts w:ascii="Times New Roman" w:hAnsi="Times New Roman" w:cs="Times New Roman"/>
          <w:sz w:val="24"/>
          <w:szCs w:val="24"/>
        </w:rPr>
        <w:t xml:space="preserve">» 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и в Собрании муниципальных </w:t>
      </w:r>
      <w:r w:rsidR="00F4382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актов муниципального образования </w:t>
      </w:r>
      <w:r w:rsidR="00F4382C" w:rsidRPr="00FC654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F4382C" w:rsidRPr="00FC654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4382C" w:rsidRPr="00FC654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8D2F27" w:rsidRDefault="008D2F27" w:rsidP="008D2F27">
      <w:pPr>
        <w:pStyle w:val="a3"/>
        <w:ind w:left="0"/>
      </w:pPr>
    </w:p>
    <w:p w:rsidR="008D2F27" w:rsidRPr="008D2F27" w:rsidRDefault="008D2F27" w:rsidP="008D2F27">
      <w:pPr>
        <w:pStyle w:val="a3"/>
        <w:ind w:left="0"/>
        <w:rPr>
          <w:rFonts w:eastAsia="Calibri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</w:t>
      </w:r>
      <w:r w:rsidR="00CC428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Г.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D2F27" w:rsidRDefault="00CC4283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15  февраля 2023</w:t>
      </w:r>
      <w:r w:rsidR="008D2F2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Заместитель главы Администрации района </w:t>
      </w:r>
    </w:p>
    <w:p w:rsidR="009156A1" w:rsidRPr="001421A6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                                                                                                   М. Н. Сарычева</w:t>
      </w:r>
    </w:p>
    <w:p w:rsidR="009156A1" w:rsidRDefault="009156A1" w:rsidP="009156A1"/>
    <w:p w:rsidR="009156A1" w:rsidRPr="001421A6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Pr="001421A6" w:rsidRDefault="00CC4283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</w:t>
      </w:r>
      <w:r w:rsidR="009156A1" w:rsidRPr="001421A6">
        <w:rPr>
          <w:rFonts w:ascii="Times New Roman" w:hAnsi="Times New Roman" w:cs="Times New Roman"/>
          <w:sz w:val="20"/>
          <w:szCs w:val="20"/>
        </w:rPr>
        <w:t xml:space="preserve">ачальника отдела </w:t>
      </w:r>
    </w:p>
    <w:p w:rsidR="00CC4283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организационно-кадровой и правовой работы</w:t>
      </w:r>
      <w:r w:rsidR="00CC4283">
        <w:rPr>
          <w:rFonts w:ascii="Times New Roman" w:hAnsi="Times New Roman" w:cs="Times New Roman"/>
          <w:sz w:val="20"/>
          <w:szCs w:val="20"/>
        </w:rPr>
        <w:t>-</w:t>
      </w:r>
    </w:p>
    <w:p w:rsidR="00F4382C" w:rsidRDefault="00CC4283" w:rsidP="00CC428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юрисконсульт</w:t>
      </w:r>
      <w:r w:rsidR="009156A1" w:rsidRPr="001421A6">
        <w:rPr>
          <w:rFonts w:ascii="Times New Roman" w:hAnsi="Times New Roman" w:cs="Times New Roman"/>
          <w:sz w:val="20"/>
          <w:szCs w:val="20"/>
        </w:rPr>
        <w:t xml:space="preserve"> </w:t>
      </w:r>
      <w:r w:rsidR="00915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В. Е. Алексеева</w:t>
      </w: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«Муниципальный округ</w:t>
      </w: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Удмуртской Республики»</w:t>
      </w: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февраля 2023 года №__</w:t>
      </w:r>
    </w:p>
    <w:p w:rsidR="00BA0A7D" w:rsidRDefault="00BA0A7D" w:rsidP="00BA0A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0A7D" w:rsidRPr="00BA0A7D" w:rsidRDefault="00BA0A7D" w:rsidP="00BA0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Информационно-аналитическая записка </w:t>
      </w:r>
    </w:p>
    <w:p w:rsidR="00BA0A7D" w:rsidRPr="00BA0A7D" w:rsidRDefault="00BA0A7D" w:rsidP="00BA0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итогах работы межмуниципального отдела МВД России </w:t>
      </w:r>
    </w:p>
    <w:p w:rsidR="00BA0A7D" w:rsidRPr="00BA0A7D" w:rsidRDefault="00BA0A7D" w:rsidP="00BA0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Можгинский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итогам</w:t>
      </w:r>
      <w:r w:rsidRPr="00BA0A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2022 года</w:t>
      </w:r>
    </w:p>
    <w:p w:rsidR="00BA0A7D" w:rsidRPr="00BA0A7D" w:rsidRDefault="00BA0A7D" w:rsidP="00BA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BA0A7D" w:rsidRPr="00BA0A7D" w:rsidRDefault="00BA0A7D" w:rsidP="00BA0A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A0A7D">
        <w:rPr>
          <w:rFonts w:ascii="Times New Roman" w:eastAsia="Calibri" w:hAnsi="Times New Roman" w:cs="Times New Roman"/>
          <w:sz w:val="28"/>
        </w:rPr>
        <w:t>Межмуниципальным отделом во взаимодействии с другими правоохранительными органами в течение прошлого года проведены мероприятия, направленные на защиту граждан от преступных посягательств,  незаконным оборотом оружия и наркотиков, ко</w:t>
      </w:r>
      <w:bookmarkStart w:id="0" w:name="_GoBack"/>
      <w:bookmarkEnd w:id="0"/>
      <w:r w:rsidRPr="00BA0A7D">
        <w:rPr>
          <w:rFonts w:ascii="Times New Roman" w:eastAsia="Calibri" w:hAnsi="Times New Roman" w:cs="Times New Roman"/>
          <w:sz w:val="28"/>
        </w:rPr>
        <w:t xml:space="preserve">ррупцией, профилактику преступлений и правонарушений на улицах и в общественных метах. 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поступившим заявлениям (сообщениям)  по всей территории обслуживания межмуниципального отдела МВД России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   2022 год  возбуждено 936 уголовных дел, что на 2,7% меньше, чем  прошлый год – 962, на территории 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количество зарегистрированных преступлений сократилось на 42 факта,  с 256  до 214. 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преступности в расчете на 10 тыс. населения постоянно проживающего на территории 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снизился  с 130 до 125 преступлений.  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преступлений зарегистрировано на территории территориальных округов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Пычасское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- 57,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- 19,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Горнякское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- 13,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Нынекское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- 10, «Александровское»</w:t>
      </w: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Большекибьинское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Большепудгинское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Нынекское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9 преступлений, меньше всего зарегистрировано в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Пазяльское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Большесибинское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Верхнеюринское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3 преступления.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организационного характера позволили повысить эффективность работы по раскрытию неочевидных преступлений, так по итогам  2022 года количество таких преступлений сократилось с 69 до 44, на 25 преступлений, при этом расследовано и направлено в суд 181 уголовное дело, больше всего не раскрытыми остались преступления на территории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Пычасское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-9, в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- 6,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Горнякское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4,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Большекибьинское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proofErr w:type="gram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«Черемушкинское» по 2 преступления, все преступления раскрыты в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Большепудгинское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Большесибинское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Большеучинское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Верхнеюринское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Нынекское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ТО «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Старокаксинское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BA0A7D" w:rsidRPr="00BA0A7D" w:rsidRDefault="00BA0A7D" w:rsidP="00BA0A7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Число совершенных тяжких и особо тяжких преступлений также сократилось с 76 до 45 преступлений, на 31 факт, при этом зарегистрировано 2 убийства, преступления зарегистрированы на территории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ТО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«Александровское», МО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BA0A7D">
        <w:rPr>
          <w:rFonts w:ascii="Times New Roman" w:eastAsia="Calibri" w:hAnsi="Times New Roman" w:cs="Times New Roman"/>
          <w:sz w:val="28"/>
          <w:szCs w:val="28"/>
        </w:rPr>
        <w:t>, умышленных причинений тяжкого вреда здоровью в текущем году зарегистрировано 3 факта</w:t>
      </w:r>
      <w:r w:rsidRPr="00BA0A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(совершены на территории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Большепудгинское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Нышинское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Нынекское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В целом раскрываемость убийств, умышленных причинений тяжкого вреда здоровью со смертельным исходом составила 100%.  </w:t>
      </w:r>
    </w:p>
    <w:p w:rsidR="00BA0A7D" w:rsidRPr="00BA0A7D" w:rsidRDefault="00BA0A7D" w:rsidP="00BA0A7D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>В 2022 году зарегистрирован три факта грабежа (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>преступления совершены на территории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»)</w:t>
      </w:r>
      <w:r w:rsidRPr="00BA0A7D">
        <w:rPr>
          <w:rFonts w:ascii="Times New Roman" w:eastAsia="Calibri" w:hAnsi="Times New Roman" w:cs="Times New Roman"/>
          <w:sz w:val="28"/>
          <w:szCs w:val="28"/>
        </w:rPr>
        <w:t>, в прошлом году указанной категории преступлений не зарегистрировано, и один факт совершения разбойного нападения</w:t>
      </w:r>
      <w:proofErr w:type="gramStart"/>
      <w:r w:rsidRPr="00BA0A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реступление совершено на территории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Горнякское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»).     </w:t>
      </w:r>
    </w:p>
    <w:p w:rsidR="00BA0A7D" w:rsidRPr="00BA0A7D" w:rsidRDefault="00BA0A7D" w:rsidP="00BA0A7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Увеличилось количество зарегистрированных преступлений против собственности с 62  против  70, на 8 преступлений. Причиной роста преступлений указанной категорий явилось регистрация 13 преступлений совершенных дистанционным способом, а именно кражи с банковских счетов и мошенничеств с использованием информационно - 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телекомуникационых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технологий. </w:t>
      </w:r>
      <w:r w:rsidRPr="00BA0A7D">
        <w:rPr>
          <w:rFonts w:ascii="Times New Roman" w:eastAsia="Times New Roman" w:hAnsi="Times New Roman" w:cs="Times New Roman"/>
          <w:sz w:val="28"/>
          <w:szCs w:val="28"/>
        </w:rPr>
        <w:t xml:space="preserve">По итогам 2022 года в результате совершения преступлений с использованием информационно-телекоммуникационных технологий у жителей 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</w:rPr>
        <w:t xml:space="preserve"> района похищено более двух миллионов рублей. </w:t>
      </w:r>
    </w:p>
    <w:p w:rsidR="00BA0A7D" w:rsidRPr="00BA0A7D" w:rsidRDefault="00BA0A7D" w:rsidP="00BA0A7D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A7D">
        <w:rPr>
          <w:rFonts w:ascii="Times New Roman" w:eastAsia="Times New Roman" w:hAnsi="Times New Roman" w:cs="Times New Roman"/>
          <w:i/>
          <w:sz w:val="28"/>
          <w:szCs w:val="28"/>
        </w:rPr>
        <w:t xml:space="preserve">С учетом этого предлагается организовать профилактические мероприятия в трудовых коллективах, в том числе среди пожилого населения 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</w:t>
      </w:r>
    </w:p>
    <w:p w:rsidR="00BA0A7D" w:rsidRPr="00BA0A7D" w:rsidRDefault="00BA0A7D" w:rsidP="00BA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Среди основных направлений деятельности органов внутренних дел важное место занимает противодействие 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наркопреступности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2022 год на территории района зарегистрировано 7 преступлений связанных с незаконным  оборотом наркотических средств, из незаконного оборота изъято 55 граммов  наркотических веществ.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BA0A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С учетом этого обращаюсь депутатскому корпусу муниципального образования «Муниципальный округ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Можгинский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 район», администрации МО «Муниципальный округ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Можгинский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 район» принять исчерпывающие </w:t>
      </w:r>
      <w:proofErr w:type="gram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меры</w:t>
      </w:r>
      <w:proofErr w:type="gram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 направленные на проведение профилактических мероприятий направленных на предупреждения совершения преступлений связанных незаконным оборотом наркотических средств, принятие мер направленных на недопущение распространения наркотических средств среди населения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 района, в том числе среди несовершеннолетних.  </w:t>
      </w:r>
    </w:p>
    <w:p w:rsidR="00BA0A7D" w:rsidRPr="00BA0A7D" w:rsidRDefault="00BA0A7D" w:rsidP="00BA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– </w:t>
      </w: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острыми проблемами на сегодняшний день остаются ситуации, связанная с алкоголизацией населения, и предупреждения рецидивной преступности. Гражданами, ранее вступившими в конфликт с законом, совершено 112 преступлений, что на 29 преступлений  </w:t>
      </w: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меньше чем в 2021 году, в том числе в состоянии алкогольного опьянения 95, что на 9 преступлений меньше чем в прошлом году.  </w:t>
      </w:r>
    </w:p>
    <w:p w:rsidR="00BA0A7D" w:rsidRPr="00BA0A7D" w:rsidRDefault="00BA0A7D" w:rsidP="00BA0A7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>В комплексе мер профилактического характера, осуществляемых полицией, приоритетное значение имеет работа с лицами, имеющими склонность к совершению преступлений и состоящими на профилактических учетах. Основным способом воздействия на эту категорию лиц является осуществление административного надзора за ними.</w:t>
      </w:r>
    </w:p>
    <w:p w:rsidR="00BA0A7D" w:rsidRPr="00BA0A7D" w:rsidRDefault="00BA0A7D" w:rsidP="00BA0A7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Всего под административным надзором состоят 27 лиц, из которых 25 лиц  освобожденных из мест лишения свободы и имеющие непогашенную или неснятую судимость за совершение тяжкого и особо тяжкого преступления, а также 5 лиц за преступления совершенные несовершеннолетних, освобожденных из мест лишения свободы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>(ТО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Большеучинская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»,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Большекибьинское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»,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 - 2 лица, и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Нынекское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 - 1 лицо).</w:t>
      </w: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A0A7D" w:rsidRPr="00BA0A7D" w:rsidRDefault="00BA0A7D" w:rsidP="00BA0A7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>В целом высокая степень алкоголизации населения является причиной совершения преступлений в состоянии алкогольного опьянения, так в 2022 году количество таких преступлений зарегистрировано в количестве 95 преступлений (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- 104). Анализ, изученных уголовных дел, в том числе с причинением тяжкого вреда здоровью, свидетельствует о том, что практически все вышеуказанные преступления совершаются в состоянии опьянения. </w:t>
      </w:r>
    </w:p>
    <w:p w:rsidR="00BA0A7D" w:rsidRPr="00BA0A7D" w:rsidRDefault="00BA0A7D" w:rsidP="00BA0A7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С целью профилактики совершения преступлений совершенными с лицами, употребляющими алкогольную продукцию  проведена работа по выявлению правонарушений в сфере незаконной реализации алкогольной продукции, так в 2022 году </w:t>
      </w:r>
      <w:r w:rsidRPr="00BA0A7D">
        <w:rPr>
          <w:rFonts w:ascii="Times New Roman" w:eastAsia="Calibri" w:hAnsi="Times New Roman" w:cs="Times New Roman"/>
          <w:sz w:val="28"/>
          <w:szCs w:val="28"/>
          <w:lang w:bidi="ru-RU"/>
        </w:rPr>
        <w:t>к административной ответственности привлечены 10 лиц, всего из незаконного оборота изъято 11,245 литров алкогольной и спиртосодержащей продукции.</w:t>
      </w:r>
      <w:proofErr w:type="gramEnd"/>
    </w:p>
    <w:p w:rsidR="00BA0A7D" w:rsidRPr="00BA0A7D" w:rsidRDefault="00BA0A7D" w:rsidP="00BA0A7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BA0A7D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С учетом изложенного депутатском корпусу ТО «Муниципальный округ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Можгинский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район» предлагается организовать работу в указанном направлении, в том числе привлечением членов народных дружин и общественности, в том числе представителей бюджетных организаций 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Можгинского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  <w:lang w:bidi="ru-RU"/>
        </w:rPr>
        <w:t xml:space="preserve"> района.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по предупреждению указанных видов преступлений во многом зависит от органов государственной власти и местного самоуправления, которые в соответствии с Федеральным законом от 23 июня 2016 года № 182-ФЗ «Об основных системах профилактике правонарушений» наделены соответствующими полномочиями, которые реализуются в рамках государственных программ правоохранительной направленности. 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2022 годом общий объем финансирования увеличился с 177 до 213 тыс. рублей, на 36 тыс. рублей. Вместе с тем, ресурсное обеспечение государственной программы по обеспечению общественного порядка и противодействия преступности недостаточно.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запланировано профинансировать только мероприятия по стимулированию и материально-техническому обеспечению деятельности народных дружин в размере 13 тыс. рублей, мероприятий по профилактике алкоголизма в размере 15 тыс. рублей, мероприятий по профилактике наркомании в размере 100 тыс. рублей, мероприятий по рецидивной преступности в размере 5 тыс. рублей, мероприятий по профилактике безнадзорности и подростковой преступности в размере 40 тыс. рублей, работа</w:t>
      </w:r>
      <w:proofErr w:type="gram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в социально-опасном  положении в размере 15 тыс. рублей.   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рамками программы остаются такие вопросы, как  организация летнего отдыха детей, находящихся в трудной жизненной ситуации, организация профильных смен для подростков, состоящих на учете в ОВД, в том числе на организацию временного трудоустройства несовершеннолетних в возрасте от 14 до 18 лет, материально – техническое обеспечение ОВД и построение, и развитие АПК «Безопасный город».  </w:t>
      </w:r>
      <w:proofErr w:type="gramEnd"/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изложенного предлагается депутатскому корпусу ТО «Муниципальный округ 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Можгинский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и администрации ТО «Муниципальный округ 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Можгинский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 в 2023 году рассмотреть вопрос о полной реализации мероприятий предусмотренных Федеральным законом от 23 июня 2016 года № 182-ФЗ «Об основных системах профилактике правонарушений»</w:t>
      </w: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взаимодействие с заинтересованными министерствами и ведомствами осуществляется комплекс организационных и практических мероприятий, направленных на повышение эффективности профилактики безнадзорности и правонарушений несовершеннолетних.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 число преступлений, совершенных лицами, не достигшими 18-ти лет, увеличилось с 8 до 9, на 1 преступления, преступления совершены на территории (в ТО»</w:t>
      </w:r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Кватчинское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1, «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Горнякское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2 с 21 года, ТО «</w:t>
      </w:r>
      <w:proofErr w:type="spellStart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Пычасское</w:t>
      </w:r>
      <w:proofErr w:type="spellEnd"/>
      <w:r w:rsidRPr="00BA0A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- 6). </w:t>
      </w: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7D" w:rsidRPr="00BA0A7D" w:rsidRDefault="00BA0A7D" w:rsidP="00BA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учетах состоит 25  несовершеннолетних жителей  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56  родителей  оказывающих отрицательное влияние на своих несовершеннолетних детей.  Совместно с органами системы профилактики проведено 25 профилактических рейдов, по выявлению правонарушений по профилактике безнадзорности несовершеннолетних, а также нарушений совершаемых законными представителями на территории </w:t>
      </w:r>
      <w:proofErr w:type="spellStart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Можгинского</w:t>
      </w:r>
      <w:proofErr w:type="spellEnd"/>
      <w:r w:rsidRPr="00BA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6 нарушений допущенные родителями связанные ненадлежащим исполнением своих родительских обязанностей (на момент проверки находились в состоянии  алкогольного опьянения).   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Самая действенная профилактическая форма работы - это вовлечение детей, начиная с самого раннего возраста, в общественно полезную </w:t>
      </w:r>
      <w:r w:rsidRPr="00BA0A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деятельность. Однако, есть категория подростков, которые, несмотря на проводимую с ними воспитательную работу, не желают менять образ жизни, систематически совершают общественно опасные деяния. К таким лицам должны применяться совсем другие меры, вплоть до их временной изоляции.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В отношении таких несовершеннолетних немаловажную роль в стабилизации обстановки играет центр временного содержания для несовершеннолетних правонарушителей. В нем созданы хорошие бытовые условия, организовано обучение и медицинское обеспечение.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В истекшем году в указанный центр помещалось                                       5 несовершеннолетних (помещены </w:t>
      </w:r>
      <w:proofErr w:type="gram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несовершеннолетние</w:t>
      </w:r>
      <w:proofErr w:type="gram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 проживающие в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Руссоксюгаильское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»,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 - 3, ТО «Александровское» - 1)</w:t>
      </w: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 и один несовершеннолетний помещен в специальное учебное воспитательное учреждение закрытого типа  Республики Татарстан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>(несовершеннолетний проживающий на территории 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>»).</w:t>
      </w: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>Межмуниципальным отделом МВД России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Можгинский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» реализуется комплекс мероприятий по предупреждению и  пресечению дорожно-транспортных происшествий, а также правил дорожного движения.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По итогам 2022 года на территории 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района отмечен рост  количества дорожно-транспортных происшествий с 93 до 98 фактов,  на 5,3 %, в том числе количество погибших участников дорожного движения с 2 до 5, на 150%, получили травмы различной тяжести 22 (АППГ- 26).   Зарегистрировано 6 (аппг-3) дорожно-транспортных происшествий с детьми.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на дорогах регионального значения 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района произошло 3 дорожно-транспортных происшествия с гибелью участников дорожного движения (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автодорога Можга </w:t>
      </w:r>
      <w:proofErr w:type="gram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–В</w:t>
      </w:r>
      <w:proofErr w:type="gram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авож, и Можга - Бемыж), </w:t>
      </w: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и также допущено 1 дорожно-транспортное происшествие с гибелью участника дорожного движения в населенном пункте 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Можгинского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  <w:r w:rsidRPr="00BA0A7D">
        <w:rPr>
          <w:rFonts w:ascii="Times New Roman" w:eastAsia="Calibri" w:hAnsi="Times New Roman" w:cs="Times New Roman"/>
          <w:i/>
          <w:sz w:val="28"/>
          <w:szCs w:val="28"/>
        </w:rPr>
        <w:t>(ТО «</w:t>
      </w:r>
      <w:proofErr w:type="spellStart"/>
      <w:r w:rsidRPr="00BA0A7D">
        <w:rPr>
          <w:rFonts w:ascii="Times New Roman" w:eastAsia="Calibri" w:hAnsi="Times New Roman" w:cs="Times New Roman"/>
          <w:i/>
          <w:sz w:val="28"/>
          <w:szCs w:val="28"/>
        </w:rPr>
        <w:t>Пазяльское</w:t>
      </w:r>
      <w:proofErr w:type="spellEnd"/>
      <w:r w:rsidRPr="00BA0A7D">
        <w:rPr>
          <w:rFonts w:ascii="Times New Roman" w:eastAsia="Calibri" w:hAnsi="Times New Roman" w:cs="Times New Roman"/>
          <w:i/>
          <w:sz w:val="28"/>
          <w:szCs w:val="28"/>
        </w:rPr>
        <w:t xml:space="preserve">»).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Основной причиной совершения дорожно-транспортных происшествий является столкновение - 4, опрокидывание – 4 и съезд с дороги – 7.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>Привлечено к уголовной ответственности 27 водителей, ранее подвергнутых к административному наказанию за управление транспортным средством в состоянии опьянения, больше всего привлечено в ТО                   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Горнякское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 – 6,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Можгинское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 -5, «Александровское»,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Большепудгинское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 по 3 лица и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Большекибьинское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Большеучинское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Нышинское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Пазяльское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Пычасское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», «Черемушкинское» по 2 лица.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Уже в январе 2023 года </w:t>
      </w:r>
      <w:proofErr w:type="gramStart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допущено на территории </w:t>
      </w:r>
      <w:proofErr w:type="spellStart"/>
      <w:r w:rsidRPr="00BA0A7D">
        <w:rPr>
          <w:rFonts w:ascii="Times New Roman" w:eastAsia="Calibri" w:hAnsi="Times New Roman" w:cs="Times New Roman"/>
          <w:sz w:val="28"/>
          <w:szCs w:val="28"/>
        </w:rPr>
        <w:t>Большеучинского</w:t>
      </w:r>
      <w:proofErr w:type="spell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допущено</w:t>
      </w:r>
      <w:proofErr w:type="gramEnd"/>
      <w:r w:rsidRPr="00BA0A7D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дорожно-транспортное происшествие с гибелью несовершеннолетнего ребенка. </w:t>
      </w:r>
    </w:p>
    <w:p w:rsidR="00BA0A7D" w:rsidRPr="00BA0A7D" w:rsidRDefault="00BA0A7D" w:rsidP="00BA0A7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BA0A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С учетом изложенного депутатскому корпусу указанных территориальных округов, принять дополнительные меры, направленные на расширение деятельности в области профилактики дорожно-транспортных происшествий, в том числе совершенных в состоянии алкогольного опьянения. </w:t>
      </w: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BA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DB"/>
    <w:rsid w:val="00067E51"/>
    <w:rsid w:val="001D71DB"/>
    <w:rsid w:val="00653526"/>
    <w:rsid w:val="006934C4"/>
    <w:rsid w:val="008D2F27"/>
    <w:rsid w:val="009156A1"/>
    <w:rsid w:val="0093490C"/>
    <w:rsid w:val="00AA0AD4"/>
    <w:rsid w:val="00BA0A7D"/>
    <w:rsid w:val="00CC4283"/>
    <w:rsid w:val="00F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2023-02-08T04:43:00Z</cp:lastPrinted>
  <dcterms:created xsi:type="dcterms:W3CDTF">2022-02-09T10:49:00Z</dcterms:created>
  <dcterms:modified xsi:type="dcterms:W3CDTF">2023-02-08T13:11:00Z</dcterms:modified>
</cp:coreProperties>
</file>